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400" w:lineRule="exact"/>
        <w:jc w:val="left"/>
        <w:rPr>
          <w:rFonts w:ascii="メイリオ" w:eastAsia="メイリオ" w:hAnsi="メイリオ"/>
          <w:sz w:val="24"/>
          <w:u w:val="single"/>
        </w:rPr>
      </w:pPr>
      <w:r>
        <w:rPr>
          <w:rFonts w:ascii="メイリオ" w:eastAsia="メイリオ" w:hAnsi="メイリオ" w:hint="eastAsia"/>
          <w:sz w:val="24"/>
          <w:u w:val="single"/>
        </w:rPr>
        <w:t>別紙1</w:t>
      </w:r>
    </w:p>
    <w:p>
      <w:pPr>
        <w:spacing w:line="300" w:lineRule="exact"/>
        <w:jc w:val="center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理 由 書</w:t>
      </w:r>
    </w:p>
    <w:p>
      <w:pPr>
        <w:spacing w:line="300" w:lineRule="exact"/>
        <w:jc w:val="center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(</w:t>
      </w:r>
      <w:r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2</w:t>
      </w:r>
      <w:r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者以上の見積書が提出できない場合)</w:t>
      </w:r>
    </w:p>
    <w:tbl>
      <w:tblPr>
        <w:tblStyle w:val="3"/>
        <w:tblW w:w="9351" w:type="dxa"/>
        <w:tblLook w:val="04A0" w:firstRow="1" w:lastRow="0" w:firstColumn="1" w:lastColumn="0" w:noHBand="0" w:noVBand="1"/>
      </w:tblPr>
      <w:tblGrid>
        <w:gridCol w:w="5382"/>
        <w:gridCol w:w="1984"/>
        <w:gridCol w:w="1985"/>
      </w:tblGrid>
      <w:tr>
        <w:trPr>
          <w:trHeight w:val="629"/>
        </w:trPr>
        <w:tc>
          <w:tcPr>
            <w:tcW w:w="5382" w:type="dxa"/>
            <w:tcBorders>
              <w:bottom w:val="dashed" w:sz="4" w:space="0" w:color="auto"/>
            </w:tcBorders>
          </w:tcPr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（１）補助対象経費について、２者以上の見積書が提出できない理由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（２）対象経費</w:t>
            </w:r>
          </w:p>
        </w:tc>
        <w:tc>
          <w:tcPr>
            <w:tcW w:w="1985" w:type="dxa"/>
            <w:tcBorders>
              <w:bottom w:val="dashed" w:sz="4" w:space="0" w:color="auto"/>
            </w:tcBorders>
          </w:tcPr>
          <w:p>
            <w:pPr>
              <w:spacing w:line="300" w:lineRule="exact"/>
              <w:ind w:left="220" w:hangingChars="100" w:hanging="220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（３）説明書類の添付</w:t>
            </w:r>
          </w:p>
        </w:tc>
      </w:tr>
      <w:tr>
        <w:trPr>
          <w:trHeight w:val="2697"/>
        </w:trPr>
        <w:tc>
          <w:tcPr>
            <w:tcW w:w="538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spacing w:line="300" w:lineRule="exact"/>
              <w:ind w:left="220" w:hangingChars="100" w:hanging="220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性質上、他者との見積比較ができない経費（独自システムの開発・拡張等）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取引できる事業者が１者に限られる経費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その他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/>
                <w:noProof/>
                <w:color w:val="000000" w:themeColor="text1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86994</wp:posOffset>
                      </wp:positionV>
                      <wp:extent cx="3267075" cy="1362075"/>
                      <wp:effectExtent l="0" t="0" r="28575" b="28575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7075" cy="1362075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AEE3E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8" o:spid="_x0000_s1026" type="#_x0000_t185" style="position:absolute;left:0;text-align:left;margin-left:.7pt;margin-top:6.85pt;width:257.25pt;height:10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" strokecolor="windowText" strokeweight=".5pt">
                      <v:stroke joinstyle="miter"/>
                    </v:shape>
                  </w:pict>
                </mc:Fallback>
              </mc:AlternateConten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a9"/>
              <w:numPr>
                <w:ilvl w:val="0"/>
                <w:numId w:val="11"/>
              </w:numPr>
              <w:spacing w:line="300" w:lineRule="exact"/>
              <w:ind w:leftChars="0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添付あり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</w:tr>
      <w:tr>
        <w:trPr>
          <w:trHeight w:val="2811"/>
        </w:trPr>
        <w:tc>
          <w:tcPr>
            <w:tcW w:w="5382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spacing w:line="300" w:lineRule="exact"/>
              <w:ind w:left="220" w:hangingChars="100" w:hanging="220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性質上、他者との見積比較ができない経費（独自システムの開発・拡張等）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取引できる事業者が１者に限られる経費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その他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/>
                <w:noProof/>
                <w:color w:val="000000" w:themeColor="text1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90170</wp:posOffset>
                      </wp:positionV>
                      <wp:extent cx="3267075" cy="1371600"/>
                      <wp:effectExtent l="0" t="0" r="28575" b="19050"/>
                      <wp:wrapNone/>
                      <wp:docPr id="9" name="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7075" cy="137160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23E39" id="大かっこ 9" o:spid="_x0000_s1026" type="#_x0000_t185" style="position:absolute;left:0;text-align:left;margin-left:.7pt;margin-top:7.1pt;width:257.2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" strokecolor="windowText" strokeweight=".5pt">
                      <v:stroke joinstyle="miter"/>
                    </v:shape>
                  </w:pict>
                </mc:Fallback>
              </mc:AlternateConten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</w:tcBorders>
          </w:tcPr>
          <w:p>
            <w:pPr>
              <w:pStyle w:val="a9"/>
              <w:numPr>
                <w:ilvl w:val="0"/>
                <w:numId w:val="11"/>
              </w:numPr>
              <w:spacing w:line="300" w:lineRule="exact"/>
              <w:ind w:leftChars="0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添付あり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</w:tr>
      <w:tr>
        <w:trPr>
          <w:trHeight w:val="2678"/>
        </w:trPr>
        <w:tc>
          <w:tcPr>
            <w:tcW w:w="5382" w:type="dxa"/>
            <w:tcBorders>
              <w:top w:val="dashed" w:sz="4" w:space="0" w:color="auto"/>
            </w:tcBorders>
          </w:tcPr>
          <w:p>
            <w:pPr>
              <w:spacing w:line="300" w:lineRule="exact"/>
              <w:ind w:left="220" w:hangingChars="100" w:hanging="220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性質上、他者との見積比較ができない経費（独自システムの開発・拡張等）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取引できる事業者が１者に限られる経費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□　その他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/>
                <w:noProof/>
                <w:color w:val="000000" w:themeColor="text1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74295</wp:posOffset>
                      </wp:positionV>
                      <wp:extent cx="3276600" cy="1381125"/>
                      <wp:effectExtent l="0" t="0" r="19050" b="28575"/>
                      <wp:wrapNone/>
                      <wp:docPr id="10" name="大かっ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0" cy="1381125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D292E" id="大かっこ 10" o:spid="_x0000_s1026" type="#_x0000_t185" style="position:absolute;left:0;text-align:left;margin-left:.7pt;margin-top:5.85pt;width:258pt;height:10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" strokecolor="windowText" strokeweight=".5pt">
                      <v:stroke joinstyle="miter"/>
                    </v:shape>
                  </w:pict>
                </mc:Fallback>
              </mc:AlternateConten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</w:tcPr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dashed" w:sz="4" w:space="0" w:color="auto"/>
            </w:tcBorders>
          </w:tcPr>
          <w:p>
            <w:pPr>
              <w:pStyle w:val="a9"/>
              <w:numPr>
                <w:ilvl w:val="0"/>
                <w:numId w:val="11"/>
              </w:numPr>
              <w:spacing w:line="300" w:lineRule="exact"/>
              <w:ind w:leftChars="0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メイリオ" w:eastAsia="メイリオ" w:hAnsi="メイリオ" w:cs="Times New Roman" w:hint="eastAsia"/>
                <w:color w:val="000000" w:themeColor="text1"/>
                <w:kern w:val="0"/>
                <w:sz w:val="22"/>
              </w:rPr>
              <w:t>添付あり</w:t>
            </w: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  <w:p>
            <w:pPr>
              <w:spacing w:line="300" w:lineRule="exact"/>
              <w:jc w:val="left"/>
              <w:rPr>
                <w:rFonts w:ascii="メイリオ" w:eastAsia="メイリオ" w:hAnsi="メイリオ" w:cs="Times New Roman"/>
                <w:color w:val="000000" w:themeColor="text1"/>
                <w:kern w:val="0"/>
                <w:sz w:val="22"/>
              </w:rPr>
            </w:pPr>
          </w:p>
        </w:tc>
      </w:tr>
    </w:tbl>
    <w:p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※２者以上の見積書が提出できない理由を説明できる書類（経費の取扱店舗のわかる資料、事業者からの通知文など）を添付してください。</w:t>
      </w:r>
    </w:p>
    <w:sectPr>
      <w:footerReference w:type="default" r:id="rId8"/>
      <w:pgSz w:w="11906" w:h="16838" w:code="9"/>
      <w:pgMar w:top="1440" w:right="1077" w:bottom="1440" w:left="107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4AB9"/>
    <w:multiLevelType w:val="hybridMultilevel"/>
    <w:tmpl w:val="D36C71D4"/>
    <w:lvl w:ilvl="0" w:tplc="283E1C5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6E5FA2"/>
    <w:multiLevelType w:val="hybridMultilevel"/>
    <w:tmpl w:val="0FBAC4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3F38D6"/>
    <w:multiLevelType w:val="hybridMultilevel"/>
    <w:tmpl w:val="245A0ADE"/>
    <w:lvl w:ilvl="0" w:tplc="F9D892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283E1C5A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E3B04"/>
    <w:multiLevelType w:val="hybridMultilevel"/>
    <w:tmpl w:val="A65A4BE8"/>
    <w:lvl w:ilvl="0" w:tplc="F9D892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F41675"/>
    <w:multiLevelType w:val="hybridMultilevel"/>
    <w:tmpl w:val="893A06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9F15B4"/>
    <w:multiLevelType w:val="hybridMultilevel"/>
    <w:tmpl w:val="486A5A36"/>
    <w:lvl w:ilvl="0" w:tplc="1390D4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3274DFC4">
      <w:start w:val="1"/>
      <w:numFmt w:val="decimalEnclosedCircle"/>
      <w:lvlText w:val="%2"/>
      <w:lvlJc w:val="left"/>
      <w:pPr>
        <w:ind w:left="780" w:hanging="360"/>
      </w:pPr>
      <w:rPr>
        <w:rFonts w:ascii="メイリオ" w:eastAsia="メイリオ" w:hAnsi="メイリオ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59460E4"/>
    <w:multiLevelType w:val="hybridMultilevel"/>
    <w:tmpl w:val="B8FC54B4"/>
    <w:lvl w:ilvl="0" w:tplc="F90288D4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5DB52431"/>
    <w:multiLevelType w:val="hybridMultilevel"/>
    <w:tmpl w:val="9404EC2C"/>
    <w:lvl w:ilvl="0" w:tplc="EA7C184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C1F1CF9"/>
    <w:multiLevelType w:val="hybridMultilevel"/>
    <w:tmpl w:val="D196FE6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6E2287DC">
      <w:start w:val="1"/>
      <w:numFmt w:val="decimal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A143474"/>
    <w:multiLevelType w:val="hybridMultilevel"/>
    <w:tmpl w:val="E58A9142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22046759">
    <w:abstractNumId w:val="4"/>
  </w:num>
  <w:num w:numId="2" w16cid:durableId="333531746">
    <w:abstractNumId w:val="2"/>
  </w:num>
  <w:num w:numId="3" w16cid:durableId="558710548">
    <w:abstractNumId w:val="3"/>
  </w:num>
  <w:num w:numId="4" w16cid:durableId="979269221">
    <w:abstractNumId w:val="1"/>
  </w:num>
  <w:num w:numId="5" w16cid:durableId="199442040">
    <w:abstractNumId w:val="10"/>
  </w:num>
  <w:num w:numId="6" w16cid:durableId="56706183">
    <w:abstractNumId w:val="8"/>
  </w:num>
  <w:num w:numId="7" w16cid:durableId="966081001">
    <w:abstractNumId w:val="0"/>
  </w:num>
  <w:num w:numId="8" w16cid:durableId="1730688588">
    <w:abstractNumId w:val="7"/>
  </w:num>
  <w:num w:numId="9" w16cid:durableId="251359370">
    <w:abstractNumId w:val="6"/>
  </w:num>
  <w:num w:numId="10" w16cid:durableId="229312960">
    <w:abstractNumId w:val="5"/>
  </w:num>
  <w:num w:numId="11" w16cid:durableId="1758360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ody Text Indent"/>
    <w:basedOn w:val="a"/>
    <w:link w:val="a8"/>
    <w:pPr>
      <w:ind w:left="178" w:hangingChars="85" w:hanging="178"/>
    </w:pPr>
    <w:rPr>
      <w:rFonts w:ascii="Century" w:eastAsia="ＭＳ 明朝" w:hAnsi="Century" w:cs="Times New Roman"/>
      <w:szCs w:val="20"/>
    </w:rPr>
  </w:style>
  <w:style w:type="character" w:customStyle="1" w:styleId="a8">
    <w:name w:val="本文インデント (文字)"/>
    <w:basedOn w:val="a0"/>
    <w:link w:val="a7"/>
    <w:rPr>
      <w:rFonts w:ascii="Century" w:eastAsia="ＭＳ 明朝" w:hAnsi="Century" w:cs="Times New Roman"/>
      <w:szCs w:val="20"/>
    </w:rPr>
  </w:style>
  <w:style w:type="paragraph" w:styleId="a9">
    <w:name w:val="List Paragraph"/>
    <w:basedOn w:val="a"/>
    <w:uiPriority w:val="34"/>
    <w:qFormat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</w:style>
  <w:style w:type="table" w:customStyle="1" w:styleId="3">
    <w:name w:val="表 (格子)3"/>
    <w:basedOn w:val="a1"/>
    <w:next w:val="ac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0AE7C-E060-4954-9653-581CE26E2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2023-01-23T05:35:00Z</dcterms:created>
  <dcterms:modified xsi:type="dcterms:W3CDTF">2024-02-14T05:11:00Z</dcterms:modified>
</cp:coreProperties>
</file>