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>
        <w:rPr>
          <w:rFonts w:eastAsia="メイリオ" w:hint="eastAsia"/>
          <w:color w:val="000000" w:themeColor="text1"/>
          <w:sz w:val="22"/>
          <w:lang w:eastAsia="zh-TW"/>
        </w:rPr>
        <w:t>様式第１７号（</w:t>
      </w:r>
      <w:r>
        <w:rPr>
          <w:rFonts w:eastAsia="メイリオ" w:hint="eastAsia"/>
          <w:color w:val="000000" w:themeColor="text1"/>
          <w:sz w:val="22"/>
        </w:rPr>
        <w:t>第１２条関係）</w:t>
      </w:r>
    </w:p>
    <w:p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働き方改革に向けた基盤づくり</w:t>
      </w:r>
      <w:r>
        <w:rPr>
          <w:rFonts w:ascii="ＭＳ 明朝" w:eastAsia="メイリオ" w:hAnsi="ＭＳ 明朝"/>
          <w:color w:val="000000" w:themeColor="text1"/>
          <w:sz w:val="22"/>
        </w:rPr>
        <w:t>事業</w:t>
      </w:r>
      <w:r>
        <w:rPr>
          <w:rFonts w:eastAsia="メイリオ" w:hint="eastAsia"/>
          <w:color w:val="000000" w:themeColor="text1"/>
          <w:sz w:val="22"/>
        </w:rPr>
        <w:t>経費明細書（完了後）</w:t>
      </w: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（１）</w:t>
      </w:r>
      <w:r>
        <w:rPr>
          <w:rFonts w:eastAsia="メイリオ" w:hAnsi="ＭＳ 明朝" w:hint="eastAsia"/>
          <w:color w:val="000000" w:themeColor="text1"/>
          <w:sz w:val="20"/>
          <w:szCs w:val="20"/>
        </w:rPr>
        <w:t>従業員のニーズ及び満足度の調査や分析を行う事業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（２）</w:t>
      </w:r>
      <w:r>
        <w:rPr>
          <w:rFonts w:eastAsia="メイリオ" w:hAnsi="ＭＳ 明朝" w:hint="eastAsia"/>
          <w:color w:val="000000" w:themeColor="text1"/>
          <w:sz w:val="20"/>
          <w:szCs w:val="20"/>
        </w:rPr>
        <w:t>従業員へ社内制度等を周知する事業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（３）</w:t>
      </w:r>
      <w:r>
        <w:rPr>
          <w:rFonts w:eastAsia="メイリオ" w:hAnsi="ＭＳ 明朝"/>
          <w:color w:val="000000" w:themeColor="text1"/>
          <w:sz w:val="20"/>
          <w:szCs w:val="20"/>
        </w:rPr>
        <w:t>社内のコミュニケーションや情報共有・連携を促進する事業</w:t>
      </w:r>
      <w:r>
        <w:rPr>
          <w:rFonts w:eastAsia="メイリオ"/>
          <w:color w:val="000000" w:themeColor="text1"/>
          <w:sz w:val="20"/>
          <w:szCs w:val="20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（４）</w:t>
      </w:r>
      <w:r>
        <w:rPr>
          <w:rFonts w:eastAsia="メイリオ" w:hAnsi="ＭＳ 明朝"/>
          <w:color w:val="000000" w:themeColor="text1"/>
          <w:sz w:val="20"/>
          <w:szCs w:val="20"/>
        </w:rPr>
        <w:t>給与・賃金、人事評価制度の構築や見直しに関する事業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afterLines="50" w:after="180" w:line="32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lastRenderedPageBreak/>
        <w:t>（５）</w:t>
      </w:r>
      <w:r>
        <w:rPr>
          <w:rFonts w:eastAsia="メイリオ" w:hAnsi="ＭＳ 明朝"/>
          <w:color w:val="000000" w:themeColor="text1"/>
          <w:sz w:val="20"/>
          <w:szCs w:val="20"/>
        </w:rPr>
        <w:t>給与・賃金、人事評価制度に関する就業規則</w:t>
      </w:r>
      <w:r>
        <w:rPr>
          <w:rFonts w:eastAsia="メイリオ" w:hAnsi="ＭＳ 明朝"/>
          <w:sz w:val="20"/>
          <w:szCs w:val="20"/>
        </w:rPr>
        <w:t>等を</w:t>
      </w:r>
      <w:r>
        <w:rPr>
          <w:rFonts w:eastAsia="メイリオ" w:hAnsi="ＭＳ 明朝" w:hint="eastAsia"/>
          <w:sz w:val="20"/>
          <w:szCs w:val="20"/>
        </w:rPr>
        <w:t>作成</w:t>
      </w:r>
      <w:r>
        <w:rPr>
          <w:rFonts w:eastAsia="メイリオ" w:hAnsi="ＭＳ 明朝"/>
          <w:sz w:val="20"/>
          <w:szCs w:val="20"/>
        </w:rPr>
        <w:t>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afterLines="50" w:after="180" w:line="320" w:lineRule="exact"/>
        <w:jc w:val="left"/>
        <w:rPr>
          <w:rFonts w:eastAsia="メイリオ" w:hAnsi="ＭＳ 明朝"/>
          <w:sz w:val="20"/>
          <w:szCs w:val="20"/>
        </w:rPr>
      </w:pPr>
    </w:p>
    <w:p>
      <w:pPr>
        <w:pStyle w:val="a3"/>
        <w:wordWrap/>
        <w:spacing w:beforeLines="50" w:before="180" w:afterLines="50" w:after="180" w:line="300" w:lineRule="exact"/>
        <w:jc w:val="left"/>
        <w:rPr>
          <w:rFonts w:eastAsia="メイリオ"/>
          <w:spacing w:val="0"/>
          <w:sz w:val="20"/>
          <w:szCs w:val="20"/>
          <w:bdr w:val="single" w:sz="4" w:space="0" w:color="auto"/>
        </w:rPr>
      </w:pPr>
      <w:r>
        <w:rPr>
          <w:rFonts w:eastAsia="メイリオ" w:hint="eastAsia"/>
          <w:spacing w:val="0"/>
          <w:sz w:val="20"/>
          <w:szCs w:val="20"/>
          <w:bdr w:val="single" w:sz="4" w:space="0" w:color="auto"/>
        </w:rPr>
        <w:t>補助金額の計算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１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～</w:t>
      </w: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５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の補助対象経費の合計　　　　補助率　　　　　算出額（円未満切捨て）</w:t>
      </w:r>
    </w:p>
    <w:p>
      <w:pPr>
        <w:pStyle w:val="a3"/>
        <w:wordWrap/>
        <w:spacing w:after="100"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　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</w:t>
      </w:r>
      <w:r>
        <w:rPr>
          <w:rFonts w:eastAsia="メイリオ" w:hint="eastAsia"/>
          <w:spacing w:val="0"/>
          <w:sz w:val="18"/>
          <w:szCs w:val="18"/>
        </w:rPr>
        <w:t>※業種による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903535" cy="654756"/>
                <wp:effectExtent l="0" t="0" r="11430" b="12065"/>
                <wp:wrapNone/>
                <wp:docPr id="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535" cy="654756"/>
                          <a:chOff x="0" y="0"/>
                          <a:chExt cx="903535" cy="654756"/>
                        </a:xfrm>
                      </wpg:grpSpPr>
                      <wps:wsp>
                        <wps:cNvPr id="10" name="テキスト ボックス 1"/>
                        <wps:cNvSpPr txBox="1"/>
                        <wps:spPr>
                          <a:xfrm>
                            <a:off x="146755" y="56444"/>
                            <a:ext cx="575522" cy="598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１／２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 xml:space="preserve">　・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２／３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中かっこ 2"/>
                        <wps:cNvSpPr/>
                        <wps:spPr>
                          <a:xfrm>
                            <a:off x="722489" y="11289"/>
                            <a:ext cx="181046" cy="63217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中かっこ 2"/>
                        <wps:cNvSpPr/>
                        <wps:spPr>
                          <a:xfrm rot="10800000">
                            <a:off x="0" y="0"/>
                            <a:ext cx="180975" cy="63182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0.2pt;margin-top:.8pt;width:71.15pt;height:51.55pt;z-index:251659264" coordsize="9035,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67;top:564;width:5755;height: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１／２</w:t>
                        </w:r>
                      </w:p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 xml:space="preserve">　・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２／３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7224;top:112;width:1811;height:6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" adj="515" strokecolor="black [3200]" strokeweight=".5pt">
                  <v:stroke joinstyle="miter"/>
                </v:shape>
                <v:shape id="右中かっこ 2" o:spid="_x0000_s1029" type="#_x0000_t88" style="position:absolute;width:1809;height:63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" adj="516" strokecolor="black [3200]" strokeweight=".5pt">
                  <v:stroke joinstyle="miter"/>
                </v:shape>
              </v:group>
            </w:pict>
          </mc:Fallback>
        </mc:AlternateConten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円　　×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＝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pacing w:val="0"/>
          <w:sz w:val="20"/>
          <w:szCs w:val="20"/>
        </w:rPr>
        <w:t>円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</w:t>
      </w: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pacing w:val="0"/>
          <w:sz w:val="20"/>
          <w:szCs w:val="20"/>
        </w:rPr>
        <w:t>補助金額（算出額の千円未満切捨て）</w:t>
      </w:r>
      <w:r>
        <w:rPr>
          <w:rFonts w:eastAsia="メイリオ" w:hint="eastAsia"/>
          <w:color w:val="000000" w:themeColor="text1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color w:val="000000" w:themeColor="text1"/>
          <w:sz w:val="20"/>
          <w:szCs w:val="20"/>
        </w:rPr>
        <w:t>円</w:t>
      </w:r>
    </w:p>
    <w:p>
      <w:pPr>
        <w:pStyle w:val="a3"/>
        <w:wordWrap/>
        <w:spacing w:beforeLines="50" w:before="180" w:line="300" w:lineRule="exact"/>
        <w:jc w:val="left"/>
        <w:rPr>
          <w:rFonts w:eastAsia="メイリオ"/>
          <w:color w:val="000000" w:themeColor="text1"/>
          <w:sz w:val="20"/>
          <w:szCs w:val="20"/>
        </w:rPr>
      </w:pPr>
    </w:p>
    <w:p/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坂田　奈津子</cp:lastModifiedBy>
  <cp:revision>4</cp:revision>
  <cp:lastPrinted>2023-03-08T04:07:00Z</cp:lastPrinted>
  <dcterms:created xsi:type="dcterms:W3CDTF">2024-03-22T10:07:00Z</dcterms:created>
  <dcterms:modified xsi:type="dcterms:W3CDTF">2024-12-19T07:52:00Z</dcterms:modified>
</cp:coreProperties>
</file>